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bookmarkStart w:id="0" w:name="Title"/>
      <w:bookmarkEnd w:id="0"/>
      <w:bookmarkStart w:id="1" w:name="DocumentFor"/>
      <w:bookmarkEnd w:id="1"/>
      <w:bookmarkStart w:id="2" w:name="_Toc193024528"/>
      <w:r>
        <w:rPr>
          <w:rFonts w:ascii="Arial" w:hAnsi="Arial" w:cs="Arial"/>
          <w:b/>
          <w:sz w:val="24"/>
          <w:szCs w:val="24"/>
          <w:highlight w:val="none"/>
          <w:lang w:eastAsia="zh-CN"/>
        </w:rPr>
        <w:t xml:space="preserve">3GPP TSG-RAN WG4 Meeting # 98-e </w:t>
      </w:r>
      <w:r>
        <w:rPr>
          <w:rFonts w:hint="eastAsia" w:cs="Arial"/>
          <w:b/>
          <w:sz w:val="24"/>
          <w:szCs w:val="24"/>
          <w:highlight w:val="none"/>
          <w:lang w:val="en-US" w:eastAsia="zh-CN"/>
        </w:rPr>
        <w:t xml:space="preserve">                                                   </w:t>
      </w:r>
      <w:r>
        <w:rPr>
          <w:rFonts w:ascii="Arial" w:hAnsi="Arial" w:cs="Arial"/>
          <w:b/>
          <w:sz w:val="24"/>
          <w:szCs w:val="24"/>
          <w:highlight w:val="none"/>
          <w:lang w:eastAsia="zh-CN"/>
        </w:rPr>
        <w:t>R4-21</w:t>
      </w:r>
      <w:r>
        <w:rPr>
          <w:rFonts w:hint="eastAsia" w:cs="Arial"/>
          <w:b/>
          <w:sz w:val="24"/>
          <w:szCs w:val="24"/>
          <w:highlight w:val="none"/>
          <w:lang w:val="en-US" w:eastAsia="zh-CN"/>
        </w:rPr>
        <w:t>02183</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r>
        <w:rPr>
          <w:rFonts w:ascii="Arial" w:hAnsi="Arial" w:cs="Arial"/>
          <w:b/>
          <w:sz w:val="24"/>
          <w:szCs w:val="24"/>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 xml:space="preserve">Discussion on </w:t>
      </w:r>
      <w:r>
        <w:rPr>
          <w:rFonts w:ascii="Arial" w:hAnsi="Arial" w:cs="Arial"/>
          <w:b w:val="0"/>
          <w:bCs/>
          <w:sz w:val="20"/>
          <w:szCs w:val="20"/>
        </w:rPr>
        <w:t>frequency separation class</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ascii="Arial" w:hAnsi="Arial" w:cs="Arial"/>
          <w:b w:val="0"/>
          <w:bCs/>
          <w:sz w:val="20"/>
          <w:szCs w:val="20"/>
          <w:lang w:val="en-US" w:eastAsia="zh-CN"/>
        </w:rPr>
        <w:t>7.12.1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#97e meeting, a WF was agreed on the new additions of frequency separation classes for Inter-band + intra-band CA FR2, shown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jc w:val="center"/>
        <w:textAlignment w:val="auto"/>
        <w:outlineLvl w:val="9"/>
        <w:rPr>
          <w:rFonts w:hint="default" w:eastAsia="宋体" w:cs="Times New Roman"/>
          <w:i w:val="0"/>
          <w:iCs w:val="0"/>
          <w:sz w:val="20"/>
          <w:szCs w:val="22"/>
          <w:highlight w:val="none"/>
          <w:lang w:val="en-US" w:eastAsia="zh-CN"/>
        </w:rPr>
      </w:pPr>
      <w:r>
        <w:drawing>
          <wp:inline distT="0" distB="0" distL="114300" distR="114300">
            <wp:extent cx="4750435" cy="1966595"/>
            <wp:effectExtent l="0" t="0" r="1206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750435" cy="1966595"/>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However, there were no consensus reached. Instead some questions were raised during the </w:t>
      </w:r>
      <w:r>
        <w:rPr>
          <w:rFonts w:hint="default" w:eastAsia="宋体" w:cs="Times New Roman"/>
          <w:i w:val="0"/>
          <w:iCs w:val="0"/>
          <w:sz w:val="20"/>
          <w:szCs w:val="22"/>
          <w:highlight w:val="none"/>
          <w:lang w:val="en-US" w:eastAsia="zh-CN"/>
        </w:rPr>
        <w:t>discussion with comments on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Necessity of 200 MHz</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Motivation is UE implementation driven only and spectrum allocations are not shown</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Applicability of the new Fs class should be for intra-band configurations involving inter-band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w:t>
      </w:r>
      <w:r>
        <w:rPr>
          <w:rFonts w:hint="eastAsia" w:eastAsia="宋体" w:cs="Times New Roman"/>
          <w:i w:val="0"/>
          <w:iCs w:val="0"/>
          <w:sz w:val="20"/>
          <w:szCs w:val="22"/>
          <w:highlight w:val="none"/>
          <w:lang w:val="en-US" w:eastAsia="zh-CN"/>
        </w:rPr>
        <w:t>is issue</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In the last  meeting, the FR2-FR2 inter-band band configurations for band n257 and n259 were proposed and captured into the xUL/2DL basket WID[2], where for some of the band configurations, DL inter-band DL configurations including intra-band contiguous CA are included. It shall be noted that there are no inter-band DL configurations including intra-band non-contiguous CA requested so far. Although it is the case, the discussion can also continue.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inter-band congituous CA, the supported UL/DL channel bandwidths are signaled for each band, which means not all of the channel bandwidths are supported in the band combination, although these channel bandwidths are supported  in each consititutive band. For intra-band contiguous CA, the RF capability is restricted by the maximum aggregated channel bandwidth, pending on the supported BCS.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intra-band non-contiguous CA, the frequency separation class (Fs) in introduced to indentify the RF capability such as baseband for a UE supporting intra-band non-contiguous, i.e the maximum frequency span </w:t>
      </w:r>
      <w:r>
        <w:rPr>
          <w:rFonts w:hint="eastAsia" w:eastAsia="宋体" w:cs="Times New Roman"/>
          <w:b w:val="0"/>
          <w:bCs w:val="0"/>
          <w:sz w:val="20"/>
          <w:szCs w:val="20"/>
          <w:highlight w:val="none"/>
          <w:lang w:val="en-US"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r>
        <w:rPr>
          <w:rFonts w:hint="eastAsia" w:eastAsia="宋体" w:cs="Times New Roman"/>
          <w:b w:val="0"/>
          <w:bCs w:val="0"/>
          <w:sz w:val="20"/>
          <w:szCs w:val="20"/>
          <w:highlight w:val="none"/>
          <w:lang w:val="en-US" w:eastAsia="zh-CN"/>
        </w:rPr>
        <w:t xml:space="preserve">According to table </w:t>
      </w:r>
      <w:r>
        <w:rPr>
          <w:rFonts w:hint="default" w:eastAsia="宋体" w:cs="Times New Roman"/>
          <w:b w:val="0"/>
          <w:bCs w:val="0"/>
          <w:sz w:val="20"/>
          <w:szCs w:val="20"/>
          <w:highlight w:val="none"/>
          <w:lang w:val="en-US" w:eastAsia="ja-JP"/>
        </w:rPr>
        <w:t>5.3A.4-2</w:t>
      </w:r>
      <w:r>
        <w:rPr>
          <w:rFonts w:hint="eastAsia" w:eastAsia="宋体" w:cs="Times New Roman"/>
          <w:b w:val="0"/>
          <w:bCs w:val="0"/>
          <w:sz w:val="20"/>
          <w:szCs w:val="20"/>
          <w:highlight w:val="none"/>
          <w:lang w:val="en-US" w:eastAsia="zh-CN"/>
        </w:rPr>
        <w:t xml:space="preserve"> in TS38.101-2, 800MHz is the lower boundary </w:t>
      </w:r>
      <w:r>
        <w:rPr>
          <w:rFonts w:hint="default" w:eastAsia="宋体" w:cs="Times New Roman"/>
          <w:b w:val="0"/>
          <w:bCs w:val="0"/>
          <w:sz w:val="20"/>
          <w:szCs w:val="20"/>
          <w:highlight w:val="none"/>
          <w:lang w:val="en-US" w:eastAsia="ja-JP"/>
        </w:rPr>
        <w:t xml:space="preserve">Max. allowed frequency separation (Fs) </w:t>
      </w:r>
      <w:r>
        <w:rPr>
          <w:rFonts w:hint="eastAsia" w:eastAsia="宋体" w:cs="Times New Roman"/>
          <w:b w:val="0"/>
          <w:bCs w:val="0"/>
          <w:sz w:val="20"/>
          <w:szCs w:val="20"/>
          <w:highlight w:val="none"/>
          <w:lang w:val="en-US" w:eastAsia="zh-CN"/>
        </w:rPr>
        <w:t>.</w:t>
      </w:r>
    </w:p>
    <w:p>
      <w:pPr>
        <w:pStyle w:val="168"/>
        <w:rPr>
          <w:rFonts w:hint="default" w:ascii="Times New Roman" w:hAnsi="Times New Roman" w:cs="Times New Roman"/>
          <w:b w:val="0"/>
          <w:bCs/>
          <w:i/>
          <w:iCs/>
          <w:color w:val="auto"/>
          <w:sz w:val="20"/>
          <w:szCs w:val="20"/>
        </w:rPr>
      </w:pPr>
      <w:r>
        <w:rPr>
          <w:rFonts w:hint="default" w:ascii="Times New Roman" w:hAnsi="Times New Roman" w:cs="Times New Roman"/>
          <w:b w:val="0"/>
          <w:bCs/>
          <w:i/>
          <w:iCs/>
          <w:color w:val="auto"/>
          <w:sz w:val="20"/>
          <w:szCs w:val="20"/>
        </w:rPr>
        <w:t>Table 5.3A.4-2: Frequency</w:t>
      </w:r>
      <w:r>
        <w:rPr>
          <w:rFonts w:hint="default" w:ascii="Times New Roman" w:hAnsi="Times New Roman" w:cs="Times New Roman"/>
          <w:b w:val="0"/>
          <w:bCs/>
          <w:i/>
          <w:iCs/>
          <w:color w:val="auto"/>
          <w:sz w:val="20"/>
          <w:szCs w:val="20"/>
          <w:lang w:eastAsia="ja-JP"/>
        </w:rPr>
        <w:t xml:space="preserve"> separation</w:t>
      </w:r>
      <w:r>
        <w:rPr>
          <w:rFonts w:hint="default" w:ascii="Times New Roman" w:hAnsi="Times New Roman" w:cs="Times New Roman"/>
          <w:b w:val="0"/>
          <w:bCs/>
          <w:i/>
          <w:iCs/>
          <w:color w:val="auto"/>
          <w:sz w:val="20"/>
          <w:szCs w:val="20"/>
        </w:rPr>
        <w:t xml:space="preserve"> classes for </w:t>
      </w:r>
      <w:r>
        <w:rPr>
          <w:rFonts w:hint="default" w:ascii="Times New Roman" w:hAnsi="Times New Roman" w:eastAsia="宋体" w:cs="Times New Roman"/>
          <w:b w:val="0"/>
          <w:bCs/>
          <w:i/>
          <w:iCs/>
          <w:color w:val="auto"/>
          <w:sz w:val="20"/>
          <w:szCs w:val="20"/>
          <w:lang w:eastAsia="ja-JP"/>
        </w:rPr>
        <w:t>non-contiguous intra-band operation</w:t>
      </w:r>
    </w:p>
    <w:tbl>
      <w:tblPr>
        <w:tblStyle w:val="76"/>
        <w:tblW w:w="5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Pr>
          <w:p>
            <w:pPr>
              <w:pStyle w:val="211"/>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Frequency separation class</w:t>
            </w:r>
          </w:p>
        </w:tc>
        <w:tc>
          <w:tcPr>
            <w:tcW w:w="2619" w:type="dxa"/>
          </w:tcPr>
          <w:p>
            <w:pPr>
              <w:pStyle w:val="211"/>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 xml:space="preserve">Max. allowed frequency separation (Fs)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I</w:t>
            </w:r>
          </w:p>
        </w:tc>
        <w:tc>
          <w:tcPr>
            <w:tcW w:w="2619"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800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II</w:t>
            </w:r>
          </w:p>
        </w:tc>
        <w:tc>
          <w:tcPr>
            <w:tcW w:w="2619"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1200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III</w:t>
            </w:r>
          </w:p>
        </w:tc>
        <w:tc>
          <w:tcPr>
            <w:tcW w:w="2619" w:type="dxa"/>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1400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IV</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1000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V</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1600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VI</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1800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VII</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2000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VIII</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2200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5"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IX</w:t>
            </w:r>
          </w:p>
        </w:tc>
        <w:tc>
          <w:tcPr>
            <w:tcW w:w="2619" w:type="dxa"/>
            <w:tcBorders>
              <w:top w:val="single" w:color="auto" w:sz="4" w:space="0"/>
              <w:left w:val="single" w:color="auto" w:sz="4" w:space="0"/>
              <w:bottom w:val="single" w:color="auto" w:sz="4" w:space="0"/>
              <w:right w:val="single" w:color="auto" w:sz="4" w:space="0"/>
            </w:tcBorders>
          </w:tcPr>
          <w:p>
            <w:pPr>
              <w:pStyle w:val="210"/>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2400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4" w:type="dxa"/>
            <w:gridSpan w:val="2"/>
            <w:tcBorders>
              <w:top w:val="single" w:color="auto" w:sz="4" w:space="0"/>
              <w:left w:val="single" w:color="auto" w:sz="4" w:space="0"/>
              <w:bottom w:val="single" w:color="auto" w:sz="4" w:space="0"/>
              <w:right w:val="single" w:color="auto" w:sz="4" w:space="0"/>
            </w:tcBorders>
          </w:tcPr>
          <w:p>
            <w:pPr>
              <w:pStyle w:val="210"/>
              <w:jc w:val="left"/>
              <w:rPr>
                <w:rFonts w:hint="default" w:ascii="Times New Roman" w:hAnsi="Times New Roman" w:cs="Times New Roman"/>
                <w:b w:val="0"/>
                <w:bCs/>
                <w:i/>
                <w:iCs/>
                <w:color w:val="auto"/>
                <w:sz w:val="20"/>
                <w:szCs w:val="20"/>
                <w:lang w:eastAsia="ja-JP"/>
              </w:rPr>
            </w:pPr>
            <w:r>
              <w:rPr>
                <w:rFonts w:hint="default" w:ascii="Times New Roman" w:hAnsi="Times New Roman" w:cs="Times New Roman"/>
                <w:b w:val="0"/>
                <w:bCs/>
                <w:i/>
                <w:iCs/>
                <w:color w:val="auto"/>
                <w:sz w:val="20"/>
                <w:szCs w:val="20"/>
                <w:lang w:eastAsia="ja-JP"/>
              </w:rPr>
              <w:t>NOTE 1: Fs values larger than 1400 MHz apply only to downlink frequency separation.</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Let</w:t>
      </w:r>
      <w:r>
        <w:rPr>
          <w:rFonts w:hint="default" w:eastAsia="宋体" w:cs="Times New Roman"/>
          <w:b w:val="0"/>
          <w:bCs w:val="0"/>
          <w:sz w:val="20"/>
          <w:szCs w:val="20"/>
          <w:highlight w:val="none"/>
          <w:lang w:val="en-US" w:eastAsia="zh-CN"/>
        </w:rPr>
        <w:t>’</w:t>
      </w:r>
      <w:r>
        <w:rPr>
          <w:rFonts w:hint="eastAsia" w:eastAsia="宋体" w:cs="Times New Roman"/>
          <w:b w:val="0"/>
          <w:bCs w:val="0"/>
          <w:sz w:val="20"/>
          <w:szCs w:val="20"/>
          <w:highlight w:val="none"/>
          <w:lang w:val="en-US" w:eastAsia="zh-CN"/>
        </w:rPr>
        <w:t xml:space="preserve">s take class I, i.e. 800MHz for an example. Due to it is </w:t>
      </w:r>
      <w:r>
        <w:rPr>
          <w:rFonts w:hint="default" w:eastAsia="宋体" w:cs="Times New Roman"/>
          <w:b w:val="0"/>
          <w:bCs w:val="0"/>
          <w:sz w:val="20"/>
          <w:szCs w:val="20"/>
          <w:highlight w:val="none"/>
          <w:lang w:val="en-US" w:eastAsia="ja-JP"/>
        </w:rPr>
        <w:t>Max. allowed frequency separation (Fs)</w:t>
      </w:r>
      <w:r>
        <w:rPr>
          <w:rFonts w:hint="eastAsia" w:eastAsia="宋体" w:cs="Times New Roman"/>
          <w:b w:val="0"/>
          <w:bCs w:val="0"/>
          <w:sz w:val="20"/>
          <w:szCs w:val="20"/>
          <w:highlight w:val="none"/>
          <w:lang w:val="en-US" w:eastAsia="zh-CN"/>
        </w:rPr>
        <w:t xml:space="preserve"> in the table, which means the 800MHz BB capability shall be declared for UE supporting intra-band non-contiguous although sometimes smaller than 800MHz spectrum are used. Considering inter-band CA where intra-band non-contiguous CA in each band, as mentioned in [3] , the UE has to demodulate both bands simultaneously so the total BB/IF bandwidth for the UE becomes the sum of the declared frequency separation classes, which is at least 1600MHz BB bandwidth shall be declared, which means the higher demand/complexity for the UE supporting inter-band and intra-band non-contiguous CA can be foreseen.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In our understanding, it is benefit to introduce some smaller </w:t>
      </w:r>
      <w:r>
        <w:rPr>
          <w:rFonts w:hint="default" w:eastAsia="宋体" w:cs="Times New Roman"/>
          <w:b w:val="0"/>
          <w:bCs w:val="0"/>
          <w:sz w:val="20"/>
          <w:szCs w:val="20"/>
          <w:highlight w:val="none"/>
          <w:lang w:val="en-US" w:eastAsia="ja-JP"/>
        </w:rPr>
        <w:t xml:space="preserve">frequency separation (Fs) </w:t>
      </w:r>
      <w:r>
        <w:rPr>
          <w:rFonts w:hint="eastAsia" w:eastAsia="宋体" w:cs="Times New Roman"/>
          <w:b w:val="0"/>
          <w:bCs w:val="0"/>
          <w:sz w:val="20"/>
          <w:szCs w:val="20"/>
          <w:highlight w:val="none"/>
          <w:lang w:val="en-US" w:eastAsia="zh-CN"/>
        </w:rPr>
        <w:t>to support inter-band and intra-band non-contiguous CA, which is not only provide the feasible for the operator deployment, but also can narrow down the UE complexity, especially for the low-cost/capability UEs. Some new candidate Fs values, i.e. 200, 400, 600 MHz were proposed in the [3], and according to the discussion, no consensus on the n</w:t>
      </w:r>
      <w:r>
        <w:rPr>
          <w:rFonts w:hint="default" w:eastAsia="宋体" w:cs="Times New Roman"/>
          <w:b w:val="0"/>
          <w:bCs w:val="0"/>
          <w:sz w:val="20"/>
          <w:szCs w:val="20"/>
          <w:highlight w:val="none"/>
          <w:lang w:val="en-US" w:eastAsia="zh-CN"/>
        </w:rPr>
        <w:t>ecessity of 200 MHz</w:t>
      </w:r>
      <w:r>
        <w:rPr>
          <w:rFonts w:hint="eastAsia" w:eastAsia="宋体" w:cs="Times New Roman"/>
          <w:b w:val="0"/>
          <w:bCs w:val="0"/>
          <w:sz w:val="20"/>
          <w:szCs w:val="20"/>
          <w:highlight w:val="none"/>
          <w:lang w:val="en-US" w:eastAsia="zh-CN"/>
        </w:rPr>
        <w:t xml:space="preserve"> was reached.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Due to the </w:t>
      </w:r>
      <w:r>
        <w:rPr>
          <w:rFonts w:hint="default" w:eastAsia="宋体" w:cs="Times New Roman"/>
          <w:b w:val="0"/>
          <w:bCs w:val="0"/>
          <w:sz w:val="20"/>
          <w:szCs w:val="20"/>
          <w:highlight w:val="none"/>
          <w:lang w:val="en-US" w:eastAsia="ja-JP"/>
        </w:rPr>
        <w:t>frequency separation (Fs)</w:t>
      </w:r>
      <w:r>
        <w:rPr>
          <w:rFonts w:hint="eastAsia" w:eastAsia="宋体" w:cs="Times New Roman"/>
          <w:b w:val="0"/>
          <w:bCs w:val="0"/>
          <w:sz w:val="20"/>
          <w:szCs w:val="20"/>
          <w:highlight w:val="none"/>
          <w:lang w:val="en-US" w:eastAsia="zh-CN"/>
        </w:rPr>
        <w:t xml:space="preserve"> is the concept of intra-band non-contiguous CA, therefore we think the above similar benifits can also be applicable for intra-band non-contiguous CA by introducing the newly Fs value. When we look at the intra-band non-contiguous CA band combinations in Table 5.5A.2-1 and Table 5.5A.2-2 in TS38.101-2, it can be found that the the minimum values of </w:t>
      </w:r>
      <w:r>
        <w:rPr>
          <w:rFonts w:hint="default" w:ascii="Arial" w:hAnsi="Arial" w:eastAsia="宋体" w:cs="Arial"/>
          <w:b w:val="0"/>
          <w:bCs w:val="0"/>
          <w:sz w:val="20"/>
          <w:szCs w:val="20"/>
          <w:highlight w:val="none"/>
          <w:lang w:val="en-US" w:eastAsia="zh-CN"/>
        </w:rPr>
        <w:t>∑</w:t>
      </w:r>
      <w:r>
        <w:rPr>
          <w:rFonts w:hint="eastAsia" w:eastAsia="宋体" w:cs="Times New Roman"/>
          <w:b w:val="0"/>
          <w:bCs w:val="0"/>
          <w:sz w:val="20"/>
          <w:szCs w:val="20"/>
          <w:highlight w:val="none"/>
          <w:lang w:val="en-US" w:eastAsia="zh-CN"/>
        </w:rPr>
        <w:t>(BW</w:t>
      </w:r>
      <w:r>
        <w:rPr>
          <w:rFonts w:hint="eastAsia" w:eastAsia="宋体" w:cs="Times New Roman"/>
          <w:b w:val="0"/>
          <w:bCs w:val="0"/>
          <w:sz w:val="20"/>
          <w:szCs w:val="20"/>
          <w:highlight w:val="none"/>
          <w:vertAlign w:val="subscript"/>
          <w:lang w:val="en-US" w:eastAsia="zh-CN"/>
        </w:rPr>
        <w:t>Channel,block</w:t>
      </w:r>
      <w:r>
        <w:rPr>
          <w:rFonts w:hint="eastAsia" w:eastAsia="宋体" w:cs="Times New Roman"/>
          <w:b w:val="0"/>
          <w:bCs w:val="0"/>
          <w:sz w:val="20"/>
          <w:szCs w:val="20"/>
          <w:highlight w:val="none"/>
          <w:lang w:val="en-US" w:eastAsia="zh-CN"/>
        </w:rPr>
        <w:t>)</w:t>
      </w:r>
      <w:r>
        <w:rPr>
          <w:rFonts w:hint="eastAsia" w:ascii="Arial" w:hAnsi="Arial" w:eastAsia="宋体" w:cs="Arial"/>
          <w:b w:val="0"/>
          <w:bCs w:val="0"/>
          <w:sz w:val="20"/>
          <w:szCs w:val="20"/>
          <w:highlight w:val="none"/>
          <w:lang w:val="en-US" w:eastAsia="zh-CN"/>
        </w:rPr>
        <w:t xml:space="preserve"> </w:t>
      </w:r>
      <w:r>
        <w:rPr>
          <w:rFonts w:hint="eastAsia" w:eastAsia="宋体" w:cs="Times New Roman"/>
          <w:b w:val="0"/>
          <w:bCs w:val="0"/>
          <w:sz w:val="20"/>
          <w:szCs w:val="20"/>
          <w:highlight w:val="none"/>
          <w:lang w:val="en-US" w:eastAsia="zh-CN"/>
        </w:rPr>
        <w:t xml:space="preserve">is 400MHz for the configurations of </w:t>
      </w:r>
      <w:r>
        <w:rPr>
          <w:rFonts w:hint="default" w:eastAsia="宋体" w:cs="Times New Roman"/>
          <w:b w:val="0"/>
          <w:bCs w:val="0"/>
          <w:sz w:val="20"/>
          <w:szCs w:val="20"/>
          <w:highlight w:val="none"/>
          <w:lang w:val="zh-CN" w:eastAsia="fi-FI"/>
        </w:rPr>
        <w:t>CA_n260(2G)</w:t>
      </w:r>
      <w:r>
        <w:rPr>
          <w:rFonts w:hint="eastAsia" w:eastAsia="宋体" w:cs="Times New Roman"/>
          <w:b w:val="0"/>
          <w:bCs w:val="0"/>
          <w:sz w:val="20"/>
          <w:szCs w:val="20"/>
          <w:highlight w:val="none"/>
          <w:lang w:val="en-US" w:eastAsia="zh-CN"/>
        </w:rPr>
        <w:t xml:space="preserve">, </w:t>
      </w:r>
      <w:r>
        <w:rPr>
          <w:rFonts w:hint="eastAsia" w:eastAsia="宋体" w:cs="Times New Roman"/>
          <w:b w:val="0"/>
          <w:bCs w:val="0"/>
          <w:sz w:val="20"/>
          <w:szCs w:val="20"/>
          <w:highlight w:val="none"/>
          <w:lang w:val="zh-CN" w:eastAsia="fi-FI"/>
        </w:rPr>
        <w:t>CA_n260(2O)</w:t>
      </w:r>
      <w:r>
        <w:rPr>
          <w:rFonts w:hint="eastAsia" w:eastAsia="宋体" w:cs="Times New Roman"/>
          <w:b w:val="0"/>
          <w:bCs w:val="0"/>
          <w:sz w:val="20"/>
          <w:szCs w:val="20"/>
          <w:highlight w:val="none"/>
          <w:lang w:val="en-US" w:eastAsia="zh-CN"/>
        </w:rPr>
        <w:t xml:space="preserve">, </w:t>
      </w:r>
      <w:r>
        <w:rPr>
          <w:rFonts w:hint="eastAsia" w:eastAsia="宋体" w:cs="Times New Roman"/>
          <w:b w:val="0"/>
          <w:bCs w:val="0"/>
          <w:sz w:val="20"/>
          <w:szCs w:val="20"/>
          <w:highlight w:val="none"/>
          <w:lang w:val="en-US" w:eastAsia="fi-FI"/>
        </w:rPr>
        <w:t>CA_n261(2G)</w:t>
      </w:r>
      <w:r>
        <w:rPr>
          <w:rFonts w:hint="eastAsia" w:eastAsia="宋体" w:cs="Times New Roman"/>
          <w:b w:val="0"/>
          <w:bCs w:val="0"/>
          <w:sz w:val="20"/>
          <w:szCs w:val="20"/>
          <w:highlight w:val="none"/>
          <w:lang w:val="en-US" w:eastAsia="zh-CN"/>
        </w:rPr>
        <w:t xml:space="preserve">, </w:t>
      </w:r>
      <w:r>
        <w:rPr>
          <w:rFonts w:hint="eastAsia" w:eastAsia="宋体" w:cs="Times New Roman"/>
          <w:b w:val="0"/>
          <w:bCs w:val="0"/>
          <w:sz w:val="20"/>
          <w:szCs w:val="20"/>
          <w:highlight w:val="none"/>
          <w:lang w:val="en-US" w:eastAsia="fi-FI"/>
        </w:rPr>
        <w:t>CA_n261(2O)</w:t>
      </w:r>
      <w:r>
        <w:rPr>
          <w:rFonts w:hint="eastAsia" w:eastAsia="宋体" w:cs="Times New Roman"/>
          <w:b w:val="0"/>
          <w:bCs w:val="0"/>
          <w:sz w:val="20"/>
          <w:szCs w:val="20"/>
          <w:highlight w:val="none"/>
          <w:lang w:val="en-US" w:eastAsia="zh-CN"/>
        </w:rPr>
        <w:t xml:space="preserve">, </w:t>
      </w:r>
      <w:r>
        <w:rPr>
          <w:rFonts w:hint="eastAsia" w:eastAsia="宋体" w:cs="Times New Roman"/>
          <w:b w:val="0"/>
          <w:bCs w:val="0"/>
          <w:sz w:val="20"/>
          <w:szCs w:val="20"/>
          <w:highlight w:val="none"/>
          <w:lang w:val="en-US" w:eastAsia="fi-FI"/>
        </w:rPr>
        <w:t>CA_n260(G-O)</w:t>
      </w:r>
      <w:r>
        <w:rPr>
          <w:rFonts w:hint="eastAsia" w:eastAsia="宋体" w:cs="Times New Roman"/>
          <w:b w:val="0"/>
          <w:bCs w:val="0"/>
          <w:sz w:val="20"/>
          <w:szCs w:val="20"/>
          <w:highlight w:val="none"/>
          <w:lang w:val="en-US" w:eastAsia="zh-CN"/>
        </w:rPr>
        <w:t xml:space="preserve"> and </w:t>
      </w:r>
      <w:r>
        <w:rPr>
          <w:rFonts w:hint="eastAsia" w:eastAsia="宋体" w:cs="Times New Roman"/>
          <w:b w:val="0"/>
          <w:bCs w:val="0"/>
          <w:sz w:val="20"/>
          <w:szCs w:val="20"/>
          <w:highlight w:val="none"/>
          <w:lang w:val="en-US" w:eastAsia="fi-FI"/>
        </w:rPr>
        <w:t>CA_n261(G-O)</w:t>
      </w:r>
      <w:r>
        <w:rPr>
          <w:rFonts w:hint="eastAsia" w:eastAsia="宋体" w:cs="Times New Roman"/>
          <w:b w:val="0"/>
          <w:bCs w:val="0"/>
          <w:sz w:val="20"/>
          <w:szCs w:val="20"/>
          <w:highlight w:val="none"/>
          <w:lang w:val="en-US" w:eastAsia="zh-CN"/>
        </w:rPr>
        <w:t xml:space="preserve">. For instance, for </w:t>
      </w:r>
      <w:r>
        <w:rPr>
          <w:rFonts w:hint="default" w:eastAsia="宋体" w:cs="Times New Roman"/>
          <w:b w:val="0"/>
          <w:bCs w:val="0"/>
          <w:sz w:val="20"/>
          <w:szCs w:val="20"/>
          <w:highlight w:val="none"/>
          <w:lang w:val="zh-CN" w:eastAsia="fi-FI"/>
        </w:rPr>
        <w:t>CA_n260(2G)</w:t>
      </w:r>
      <w:r>
        <w:rPr>
          <w:rFonts w:hint="eastAsia" w:eastAsia="宋体" w:cs="Times New Roman"/>
          <w:b w:val="0"/>
          <w:bCs w:val="0"/>
          <w:sz w:val="20"/>
          <w:szCs w:val="20"/>
          <w:highlight w:val="none"/>
          <w:lang w:val="en-US" w:eastAsia="zh-CN"/>
        </w:rPr>
        <w:t xml:space="preserve"> which contains two sub-block of </w:t>
      </w:r>
      <w:r>
        <w:rPr>
          <w:rFonts w:hint="default" w:eastAsia="宋体" w:cs="Times New Roman"/>
          <w:b w:val="0"/>
          <w:bCs w:val="0"/>
          <w:sz w:val="20"/>
          <w:szCs w:val="20"/>
          <w:highlight w:val="none"/>
          <w:lang w:val="zh-CN" w:eastAsia="fi-FI"/>
        </w:rPr>
        <w:t>CA_n260</w:t>
      </w:r>
      <w:r>
        <w:rPr>
          <w:rFonts w:hint="eastAsia" w:eastAsia="宋体" w:cs="Times New Roman"/>
          <w:b w:val="0"/>
          <w:bCs w:val="0"/>
          <w:sz w:val="20"/>
          <w:szCs w:val="20"/>
          <w:highlight w:val="none"/>
          <w:lang w:val="en-US" w:eastAsia="zh-CN"/>
        </w:rPr>
        <w:t xml:space="preserve">G, where at least 150MHz aggregated bandwidth is supported for class </w:t>
      </w:r>
      <w:r>
        <w:rPr>
          <w:rFonts w:hint="default" w:eastAsia="宋体" w:cs="Times New Roman"/>
          <w:b w:val="0"/>
          <w:bCs w:val="0"/>
          <w:sz w:val="20"/>
          <w:szCs w:val="20"/>
          <w:highlight w:val="none"/>
          <w:lang w:val="zh-CN" w:eastAsia="fi-FI"/>
        </w:rPr>
        <w:t>CA_n260</w:t>
      </w:r>
      <w:r>
        <w:rPr>
          <w:rFonts w:hint="eastAsia" w:eastAsia="宋体" w:cs="Times New Roman"/>
          <w:b w:val="0"/>
          <w:bCs w:val="0"/>
          <w:sz w:val="20"/>
          <w:szCs w:val="20"/>
          <w:highlight w:val="none"/>
          <w:lang w:val="en-US" w:eastAsia="zh-CN"/>
        </w:rPr>
        <w:t xml:space="preserve">G according to the table Table 5.5A.1-1, which means larger than 300MHz total sub-block bandwidth </w:t>
      </w:r>
      <w:r>
        <w:rPr>
          <w:rFonts w:hint="default" w:eastAsia="宋体" w:cs="Times New Roman"/>
          <w:b w:val="0"/>
          <w:bCs w:val="0"/>
          <w:sz w:val="20"/>
          <w:szCs w:val="20"/>
          <w:highlight w:val="none"/>
          <w:lang w:val="zh-CN" w:eastAsia="fi-FI"/>
        </w:rPr>
        <w:t>CA_n260(2G)</w:t>
      </w:r>
      <w:r>
        <w:rPr>
          <w:rFonts w:hint="eastAsia" w:eastAsia="宋体" w:cs="Times New Roman"/>
          <w:b w:val="0"/>
          <w:bCs w:val="0"/>
          <w:sz w:val="20"/>
          <w:szCs w:val="20"/>
          <w:highlight w:val="none"/>
          <w:lang w:val="en-US" w:eastAsia="zh-CN"/>
        </w:rPr>
        <w:t xml:space="preserve"> is needed. Taking the sub-block gap into account, only new 400MHz and 600MHz Fs is possible.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bCs/>
          <w:i w:val="0"/>
          <w:iCs w:val="0"/>
          <w:sz w:val="20"/>
          <w:szCs w:val="20"/>
          <w:highlight w:val="none"/>
          <w:lang w:val="en-US" w:eastAsia="zh-CN"/>
        </w:rPr>
        <w:t xml:space="preserve">Proposal : </w:t>
      </w:r>
      <w:r>
        <w:rPr>
          <w:rFonts w:hint="eastAsia" w:eastAsia="宋体" w:cs="Times New Roman"/>
          <w:b/>
          <w:bCs/>
          <w:sz w:val="20"/>
          <w:szCs w:val="20"/>
          <w:highlight w:val="none"/>
          <w:lang w:val="en-US" w:eastAsia="zh-CN"/>
        </w:rPr>
        <w:t>Addition of newly Fs values 400, 600 MHz into Table 5.3A.4-2 of TS 38.101-2, and it is a</w:t>
      </w:r>
      <w:r>
        <w:rPr>
          <w:rFonts w:hint="default" w:eastAsia="宋体" w:cs="Times New Roman"/>
          <w:b/>
          <w:bCs/>
          <w:sz w:val="20"/>
          <w:szCs w:val="20"/>
          <w:highlight w:val="none"/>
          <w:lang w:val="en-US" w:eastAsia="zh-CN"/>
        </w:rPr>
        <w:t xml:space="preserve">pplicable </w:t>
      </w:r>
      <w:r>
        <w:rPr>
          <w:rFonts w:hint="eastAsia" w:eastAsia="宋体" w:cs="Times New Roman"/>
          <w:b/>
          <w:bCs/>
          <w:sz w:val="20"/>
          <w:szCs w:val="20"/>
          <w:highlight w:val="none"/>
          <w:lang w:val="en-US" w:eastAsia="zh-CN"/>
        </w:rPr>
        <w:t>to all CA configurations involving intra-band non-contiguous CA, i.e. Option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If the above proposal is agreed, a CR is needed to TS38.101-2 to reflect the newly values, also a LS is needed to RAN2 to amend the values.</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the newly addition of Fs values for inter-band + intra-band CA FR2.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0"/>
          <w:highlight w:val="none"/>
          <w:lang w:val="en-US" w:eastAsia="zh-CN"/>
        </w:rPr>
      </w:pPr>
      <w:r>
        <w:rPr>
          <w:rFonts w:hint="eastAsia" w:eastAsia="宋体" w:cs="Times New Roman"/>
          <w:b/>
          <w:bCs/>
          <w:i w:val="0"/>
          <w:iCs w:val="0"/>
          <w:sz w:val="20"/>
          <w:szCs w:val="20"/>
          <w:highlight w:val="none"/>
          <w:lang w:val="en-US" w:eastAsia="zh-CN"/>
        </w:rPr>
        <w:t xml:space="preserve">Proposal : </w:t>
      </w:r>
      <w:r>
        <w:rPr>
          <w:rFonts w:hint="eastAsia" w:eastAsia="宋体" w:cs="Times New Roman"/>
          <w:b/>
          <w:bCs/>
          <w:sz w:val="20"/>
          <w:szCs w:val="20"/>
          <w:highlight w:val="none"/>
          <w:lang w:val="en-US" w:eastAsia="zh-CN"/>
        </w:rPr>
        <w:t>Addition of newly Fs values 400, 600 MHz into Table 5.3A.4-2 of TS 38.101-2, and it is a</w:t>
      </w:r>
      <w:r>
        <w:rPr>
          <w:rFonts w:hint="default" w:eastAsia="宋体" w:cs="Times New Roman"/>
          <w:b/>
          <w:bCs/>
          <w:sz w:val="20"/>
          <w:szCs w:val="20"/>
          <w:highlight w:val="none"/>
          <w:lang w:val="en-US" w:eastAsia="zh-CN"/>
        </w:rPr>
        <w:t xml:space="preserve">pplicable </w:t>
      </w:r>
      <w:r>
        <w:rPr>
          <w:rFonts w:hint="eastAsia" w:eastAsia="宋体" w:cs="Times New Roman"/>
          <w:b/>
          <w:bCs/>
          <w:sz w:val="20"/>
          <w:szCs w:val="20"/>
          <w:highlight w:val="none"/>
          <w:lang w:val="en-US" w:eastAsia="zh-CN"/>
        </w:rPr>
        <w:t>to all CA configurations involving intra-band non-contiguous CA, i.e. Option 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0"/>
          <w:highlight w:val="none"/>
          <w:lang w:val="en-US" w:eastAsia="zh-CN"/>
        </w:rPr>
      </w:pPr>
      <w:r>
        <w:rPr>
          <w:rFonts w:hint="eastAsia" w:eastAsia="宋体" w:cs="Times New Roman"/>
          <w:b w:val="0"/>
          <w:bCs w:val="0"/>
          <w:sz w:val="20"/>
          <w:szCs w:val="20"/>
          <w:highlight w:val="none"/>
          <w:lang w:val="en-US" w:eastAsia="zh-CN"/>
        </w:rPr>
        <w:t>If the above proposal is agreed, a CR is needed to TS38.101-2 to reflect the newly values, also a LS is needed to RAN2 to amend the values.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[1]  R4-2016824 WF for addition of new frequency separation classes, Qualcomm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[2] </w:t>
      </w:r>
      <w:r>
        <w:rPr>
          <w:rFonts w:hint="eastAsia" w:ascii="Times New Roman" w:hAnsi="Times New Roman" w:eastAsia="宋体" w:cs="Times New Roman"/>
          <w:b w:val="0"/>
          <w:bCs w:val="0"/>
          <w:sz w:val="20"/>
          <w:szCs w:val="20"/>
          <w:highlight w:val="none"/>
          <w:vertAlign w:val="baseline"/>
          <w:lang w:val="en-US" w:eastAsia="zh-CN"/>
        </w:rPr>
        <w:t xml:space="preserve">R4-2015057 </w:t>
      </w:r>
      <w:r>
        <w:rPr>
          <w:rFonts w:hint="eastAsia" w:eastAsia="宋体" w:cs="Times New Roman"/>
          <w:b w:val="0"/>
          <w:bCs w:val="0"/>
          <w:sz w:val="20"/>
          <w:szCs w:val="20"/>
          <w:highlight w:val="none"/>
          <w:vertAlign w:val="baseline"/>
          <w:lang w:val="en-US" w:eastAsia="zh-CN"/>
        </w:rPr>
        <w:t xml:space="preserve"> </w:t>
      </w:r>
      <w:r>
        <w:rPr>
          <w:rFonts w:hint="eastAsia" w:ascii="Times New Roman" w:hAnsi="Times New Roman" w:eastAsia="宋体" w:cs="Times New Roman"/>
          <w:b w:val="0"/>
          <w:bCs w:val="0"/>
          <w:sz w:val="20"/>
          <w:szCs w:val="20"/>
          <w:highlight w:val="none"/>
          <w:vertAlign w:val="baseline"/>
          <w:lang w:val="en-US" w:eastAsia="zh-CN"/>
        </w:rPr>
        <w:t>Revised WID on Rel-17 NR Inter-band CA_DC xUL_2DL (x=1,2)</w:t>
      </w:r>
      <w:r>
        <w:rPr>
          <w:rFonts w:hint="eastAsia" w:eastAsia="宋体" w:cs="Times New Roman"/>
          <w:b w:val="0"/>
          <w:bCs w:val="0"/>
          <w:sz w:val="20"/>
          <w:szCs w:val="20"/>
          <w:highlight w:val="none"/>
          <w:vertAlign w:val="baseline"/>
          <w:lang w:val="en-US" w:eastAsia="zh-CN"/>
        </w:rPr>
        <w:t>, ZTE</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[3] </w:t>
      </w:r>
      <w:r>
        <w:rPr>
          <w:rFonts w:hint="eastAsia" w:ascii="Times New Roman" w:hAnsi="Times New Roman" w:eastAsia="宋体" w:cs="Times New Roman"/>
          <w:b w:val="0"/>
          <w:bCs w:val="0"/>
          <w:sz w:val="20"/>
          <w:szCs w:val="20"/>
          <w:highlight w:val="none"/>
          <w:vertAlign w:val="baseline"/>
          <w:lang w:val="en-US" w:eastAsia="zh-CN"/>
        </w:rPr>
        <w:t xml:space="preserve">R4-2014290 </w:t>
      </w:r>
      <w:r>
        <w:rPr>
          <w:rFonts w:hint="eastAsia" w:eastAsia="宋体" w:cs="Times New Roman"/>
          <w:b w:val="0"/>
          <w:bCs w:val="0"/>
          <w:sz w:val="20"/>
          <w:szCs w:val="20"/>
          <w:highlight w:val="none"/>
          <w:vertAlign w:val="baseline"/>
          <w:lang w:val="en-US" w:eastAsia="zh-CN"/>
        </w:rPr>
        <w:t xml:space="preserve"> </w:t>
      </w:r>
      <w:r>
        <w:rPr>
          <w:rFonts w:hint="eastAsia" w:ascii="Times New Roman" w:hAnsi="Times New Roman" w:eastAsia="宋体" w:cs="Times New Roman"/>
          <w:b w:val="0"/>
          <w:bCs w:val="0"/>
          <w:sz w:val="20"/>
          <w:szCs w:val="20"/>
          <w:highlight w:val="none"/>
          <w:vertAlign w:val="baseline"/>
          <w:lang w:val="en-US" w:eastAsia="zh-CN"/>
        </w:rPr>
        <w:t>Inter-band + intra-band CA FR2 frequency separation class</w:t>
      </w:r>
      <w:r>
        <w:rPr>
          <w:rFonts w:hint="eastAsia" w:eastAsia="宋体" w:cs="Times New Roman"/>
          <w:b w:val="0"/>
          <w:bCs w:val="0"/>
          <w:sz w:val="20"/>
          <w:szCs w:val="20"/>
          <w:highlight w:val="none"/>
          <w:vertAlign w:val="baseline"/>
          <w:lang w:val="en-US" w:eastAsia="zh-CN"/>
        </w:rPr>
        <w:t>, Qualcomm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2B001F5"/>
    <w:multiLevelType w:val="singleLevel"/>
    <w:tmpl w:val="32B001F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6"/>
  </w:num>
  <w:num w:numId="10">
    <w:abstractNumId w:val="7"/>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E20A2"/>
    <w:rsid w:val="05A61B3E"/>
    <w:rsid w:val="05A77370"/>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4614"/>
    <w:rsid w:val="09F05FD9"/>
    <w:rsid w:val="09F5481F"/>
    <w:rsid w:val="09F66132"/>
    <w:rsid w:val="09FA4305"/>
    <w:rsid w:val="09FC5A06"/>
    <w:rsid w:val="09FD7AC1"/>
    <w:rsid w:val="0A087C59"/>
    <w:rsid w:val="0A0A4421"/>
    <w:rsid w:val="0A0C5AD4"/>
    <w:rsid w:val="0A0D3E6C"/>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F04EF"/>
    <w:rsid w:val="0AFF28BB"/>
    <w:rsid w:val="0AFF418F"/>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030A8"/>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F9591A"/>
    <w:rsid w:val="130B1D8A"/>
    <w:rsid w:val="131358FB"/>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82CB9"/>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24F55"/>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F489E"/>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6944DF"/>
    <w:rsid w:val="22790C8F"/>
    <w:rsid w:val="227E691F"/>
    <w:rsid w:val="227F29B7"/>
    <w:rsid w:val="229150BB"/>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F478B"/>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61E16"/>
    <w:rsid w:val="2B0651DB"/>
    <w:rsid w:val="2B081CE2"/>
    <w:rsid w:val="2B0B7DF6"/>
    <w:rsid w:val="2B0E24FA"/>
    <w:rsid w:val="2B122123"/>
    <w:rsid w:val="2B130886"/>
    <w:rsid w:val="2B1E649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1432A9"/>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593213"/>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DC6CEA"/>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D3363"/>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2C5052"/>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D76B5B"/>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0E850A8"/>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239E6"/>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D6588"/>
    <w:rsid w:val="5EE35981"/>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71DA"/>
    <w:rsid w:val="677D64DB"/>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C55B5"/>
    <w:rsid w:val="7A6E34CA"/>
    <w:rsid w:val="7A713529"/>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30FFB"/>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2021-01-15T16:26:36Z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